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4444"/>
        <w:gridCol w:w="4916"/>
      </w:tblGrid>
      <w:tr w:rsidR="00BD218D" w:rsidRPr="00BD218D" w:rsidTr="00BD218D">
        <w:trPr>
          <w:tblCellSpacing w:w="0" w:type="dxa"/>
        </w:trPr>
        <w:tc>
          <w:tcPr>
            <w:tcW w:w="2350" w:type="pct"/>
            <w:hideMark/>
          </w:tcPr>
          <w:p w:rsidR="00BD218D" w:rsidRPr="00BD218D" w:rsidRDefault="00BD218D" w:rsidP="00CE472D">
            <w:pPr>
              <w:spacing w:before="100" w:beforeAutospacing="1" w:after="100" w:afterAutospacing="1" w:line="240" w:lineRule="auto"/>
              <w:jc w:val="center"/>
              <w:rPr>
                <w:rFonts w:eastAsia="Times New Roman" w:cs="Times New Roman"/>
                <w:szCs w:val="28"/>
              </w:rPr>
            </w:pPr>
            <w:r w:rsidRPr="00BD218D">
              <w:rPr>
                <w:rFonts w:eastAsia="Times New Roman" w:cs="Times New Roman"/>
                <w:szCs w:val="28"/>
              </w:rPr>
              <w:t>BAN CHẤP HÀNH TRUNG ƯƠNG</w:t>
            </w:r>
            <w:r w:rsidRPr="00BD218D">
              <w:rPr>
                <w:rFonts w:eastAsia="Times New Roman" w:cs="Times New Roman"/>
                <w:szCs w:val="28"/>
              </w:rPr>
              <w:br/>
            </w:r>
            <w:r w:rsidRPr="00BD218D">
              <w:rPr>
                <w:rFonts w:eastAsia="Times New Roman" w:cs="Times New Roman"/>
                <w:b/>
                <w:bCs/>
                <w:szCs w:val="28"/>
              </w:rPr>
              <w:t>ỦY BAN KIỂM TRA</w:t>
            </w:r>
            <w:r w:rsidRPr="00BD218D">
              <w:rPr>
                <w:rFonts w:eastAsia="Times New Roman" w:cs="Times New Roman"/>
                <w:b/>
                <w:bCs/>
                <w:szCs w:val="28"/>
              </w:rPr>
              <w:br/>
              <w:t>-------</w:t>
            </w:r>
          </w:p>
        </w:tc>
        <w:tc>
          <w:tcPr>
            <w:tcW w:w="2600" w:type="pct"/>
            <w:hideMark/>
          </w:tcPr>
          <w:p w:rsidR="00BD218D" w:rsidRPr="00BD218D" w:rsidRDefault="00BD218D" w:rsidP="00CE472D">
            <w:pPr>
              <w:spacing w:before="100" w:beforeAutospacing="1" w:after="100" w:afterAutospacing="1" w:line="240" w:lineRule="auto"/>
              <w:jc w:val="center"/>
              <w:rPr>
                <w:rFonts w:eastAsia="Times New Roman" w:cs="Times New Roman"/>
                <w:szCs w:val="28"/>
              </w:rPr>
            </w:pPr>
            <w:r w:rsidRPr="00BD218D">
              <w:rPr>
                <w:rFonts w:eastAsia="Times New Roman" w:cs="Times New Roman"/>
                <w:b/>
                <w:bCs/>
                <w:szCs w:val="28"/>
              </w:rPr>
              <w:t>ĐẢNG CỘNG SẢN VIỆT NAM</w:t>
            </w:r>
            <w:r w:rsidRPr="00BD218D">
              <w:rPr>
                <w:rFonts w:eastAsia="Times New Roman" w:cs="Times New Roman"/>
                <w:b/>
                <w:bCs/>
                <w:szCs w:val="28"/>
              </w:rPr>
              <w:br/>
              <w:t>---------------</w:t>
            </w:r>
          </w:p>
        </w:tc>
      </w:tr>
      <w:tr w:rsidR="00BD218D" w:rsidRPr="00BD218D" w:rsidTr="00BD218D">
        <w:trPr>
          <w:tblCellSpacing w:w="0" w:type="dxa"/>
        </w:trPr>
        <w:tc>
          <w:tcPr>
            <w:tcW w:w="2350" w:type="pct"/>
            <w:hideMark/>
          </w:tcPr>
          <w:p w:rsidR="00BD218D" w:rsidRPr="00BD218D" w:rsidRDefault="00BD218D" w:rsidP="00CE472D">
            <w:pPr>
              <w:spacing w:before="100" w:beforeAutospacing="1" w:after="100" w:afterAutospacing="1" w:line="240" w:lineRule="auto"/>
              <w:jc w:val="center"/>
              <w:rPr>
                <w:rFonts w:eastAsia="Times New Roman" w:cs="Times New Roman"/>
                <w:szCs w:val="28"/>
              </w:rPr>
            </w:pPr>
            <w:r w:rsidRPr="00BD218D">
              <w:rPr>
                <w:rFonts w:eastAsia="Times New Roman" w:cs="Times New Roman"/>
                <w:szCs w:val="28"/>
              </w:rPr>
              <w:t>Số: 13-HD/UBKTTW</w:t>
            </w:r>
          </w:p>
        </w:tc>
        <w:tc>
          <w:tcPr>
            <w:tcW w:w="2600" w:type="pct"/>
            <w:hideMark/>
          </w:tcPr>
          <w:p w:rsidR="00BD218D" w:rsidRPr="00BD218D" w:rsidRDefault="00BD218D" w:rsidP="00CE472D">
            <w:pPr>
              <w:spacing w:before="100" w:beforeAutospacing="1" w:after="100" w:afterAutospacing="1" w:line="240" w:lineRule="auto"/>
              <w:jc w:val="center"/>
              <w:rPr>
                <w:rFonts w:eastAsia="Times New Roman" w:cs="Times New Roman"/>
                <w:szCs w:val="28"/>
              </w:rPr>
            </w:pPr>
            <w:r w:rsidRPr="00BD218D">
              <w:rPr>
                <w:rFonts w:eastAsia="Times New Roman" w:cs="Times New Roman"/>
                <w:i/>
                <w:iCs/>
                <w:szCs w:val="28"/>
              </w:rPr>
              <w:t>Hà Nội, ngày 02 tháng 12 năm 2020</w:t>
            </w:r>
          </w:p>
        </w:tc>
      </w:tr>
    </w:tbl>
    <w:p w:rsidR="00BD218D" w:rsidRPr="00BD218D" w:rsidRDefault="00BD218D" w:rsidP="00CE472D">
      <w:pPr>
        <w:spacing w:before="100" w:beforeAutospacing="1" w:after="100" w:afterAutospacing="1" w:line="240" w:lineRule="auto"/>
        <w:jc w:val="center"/>
        <w:rPr>
          <w:rFonts w:eastAsia="Times New Roman" w:cs="Times New Roman"/>
          <w:szCs w:val="28"/>
        </w:rPr>
      </w:pPr>
      <w:bookmarkStart w:id="0" w:name="loai_1"/>
      <w:bookmarkStart w:id="1" w:name="_GoBack"/>
      <w:bookmarkEnd w:id="1"/>
      <w:r w:rsidRPr="00BD218D">
        <w:rPr>
          <w:rFonts w:eastAsia="Times New Roman" w:cs="Times New Roman"/>
          <w:b/>
          <w:bCs/>
          <w:szCs w:val="28"/>
        </w:rPr>
        <w:t>HƯỚNG DẪN</w:t>
      </w:r>
      <w:bookmarkEnd w:id="0"/>
    </w:p>
    <w:p w:rsidR="00BD218D" w:rsidRPr="00BD218D" w:rsidRDefault="00BD218D" w:rsidP="00CE472D">
      <w:pPr>
        <w:spacing w:before="100" w:beforeAutospacing="1" w:after="100" w:afterAutospacing="1" w:line="240" w:lineRule="auto"/>
        <w:jc w:val="center"/>
        <w:rPr>
          <w:rFonts w:eastAsia="Times New Roman" w:cs="Times New Roman"/>
          <w:szCs w:val="28"/>
        </w:rPr>
      </w:pPr>
      <w:bookmarkStart w:id="2" w:name="loai_1_name"/>
      <w:r w:rsidRPr="00BD218D">
        <w:rPr>
          <w:rFonts w:eastAsia="Times New Roman" w:cs="Times New Roman"/>
          <w:szCs w:val="28"/>
        </w:rPr>
        <w:t>VIỆC GIẢI QUYẾT TỐ CÁO, KHIẾU NẠI VỀ BẦU CỬ ĐẠI BIỂU QUỐC HỘI KHÓA XV VÀ ĐẠI BIỂU HỘI ĐỒNG NHÂN DÂN CÁC CẤP NHIỆM KỲ 2021 - 2026 CỦA CẤP ỦY, TỔ CHỨC ĐẢNG, ỦY BAN KIỂM TRA CÁC CẤP</w:t>
      </w:r>
      <w:bookmarkEnd w:id="2"/>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Căn cứ Chỉ thị số 45-CT/TW, ngày 20/6/2020 của Bộ Chính trị về lãnh đạo cuộc bầu cử đại biểu Quốc hội khóa XV và bầu cử đại biểu Hội đồng nhân dân các cấp nhiệm kỳ 2021 - 2026;</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Căn cứ Luật Bầu cử đại biểu Quốc hội và đại biểu Hội đồng nhân dân;</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Căn cứ Quy chế làm việc của Ủy ban Kiểm tra Trung ương khóa XII;</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Thực hiện ý kiến chỉ đạo của Hội đồng bầu cử Quốc gia tại Công văn số 06/HĐBCQG-CTĐB, ngày 16/9/2020, Ủy ban Kiểm tra Trung ương hướng dẫn việc giải quyết tố cáo, khiếu nại về bầu cử đại biểu Quốc hội khóa XV và đại biểu Hội đồng nhân dân các cấp nhiệm kỳ 2021 - 2026 của cấp ủy, tổ chức đảng, Ủy ban kiểm tra các cấp như sau:</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bookmarkStart w:id="3" w:name="muc_1"/>
      <w:r w:rsidRPr="00BD218D">
        <w:rPr>
          <w:rFonts w:eastAsia="Times New Roman" w:cs="Times New Roman"/>
          <w:b/>
          <w:bCs/>
          <w:szCs w:val="28"/>
        </w:rPr>
        <w:t>I. YÊU CẦU CHUNG</w:t>
      </w:r>
      <w:bookmarkEnd w:id="3"/>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1. Việc giải quyết tố cáo, khiếu nại liên quan đến bầu cử hoặc nhân sự giới thiệu ứng cử đại biểu Quốc hội khóa XV và đại biểu Hội đồng nhân dân các cấp nhiệm kỳ 2021 - 2026 phải kịp thời, chính xác, khách quan, đúng nguyên tắc, quy trình, thủ tục, trách nhiệm, thẩm quyền theo quy định của Đảng và Nhà nước.</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2. Các tổ chức khi nhận được đơn thư tố cáo, khiếu nại phải phân loại, xử lý đầy đủ, chính xác và kịp thời giải quyết theo đúng quy định; đối với những đơn thư tố cáo, khiếu nại không thuộc thẩm quyền giải quyết thì chuyển đến các cơ quan, tổ chức có thẩm quyền giải quyết và thông báo cho người tố cáo, khiếu nại biết.</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3. Qua giải quyết tố cáo, khiếu nại phải kết luận rõ đúng, sai, khuyết điểm, vi phạm (nếu có); xử lý theo thẩm quyền hoặc báo cáo cấp có thẩm quyền xử lý kịp thời, nghiêm minh các trường hợp vi phạm.</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lastRenderedPageBreak/>
        <w:t>4. Trong thời hạn 10 ngày trước ngày bầu cử, ngừng việc xem xét, giải quyết mọi tố cáo, khiếu nại liên quan đến người ứng cử và việc lập danh sách người ứng cử đại biểu Quốc hội và Hội đồng nhân dân các cấp cho đến khi bầu cử xong.</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Trong trường hợp những tố cáo đã rõ, có đủ cơ sở để kết luận người ứng cử không đáp ứng đủ tiêu chuẩn của đại biểu Quốc hội, đại biểu Hội đồng nhân dân thì báo cáo ban thường vụ cấp ủy cùng cấp để báo cáo Hội đồng bầu cử quốc gia (đối với đại biểu Quốc hội) hoặc thông báo với Ủy ban bầu cử ở cấp tương ứng (đối với đại biểu Hội đồng nhân dân) xem xét, quyết định theo thẩm quyền về việc xóa tên người đó trong danh sách chính thức những người ứng cử.</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Trường hợp tố cáo thuộc thẩm quyền nhưng chưa xem xét, giải quyết được hoặc đang giải quyết nhưng không thể kết thúc trước 10 ngày tính đến ngày bầu cử thì kịp thời báo cáo ban thường vụ cấp ủy cùng cấp để báo cáo Hội đồng bầu cử quốc gia (đối với đại biểu Quốc hội) hoặc thông báo với Ủy ban bầu cử cấp tương ứng (đối với đại biểu Hội đồng nhân dân) xem xét, quyết định theo quy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5. Tố cáo không giải quyết gồm: Tố cáo giấu tên, mạo tên, không rõ địa chỉ; tố cáo có tên đã được cấp có thẩm quyền (do Điều lệ Đảng và Luật Tố cáo quy định) xem xét, kết luận, nay tố cáo lại nhưng không có thêm tài liệu, chứng cứ mới làm thay đổi bản chất vụ việc; đơn tố cáo có tên nhưng không rõ nội dung, không chứa đựng, phản ánh nội dung tố cáo; đơn tố cáo không phải bản do người tố cáo trực tiếp ký tên; đơn tố cáo có từ hai người trở lên cùng ký tên; đơn tố cáo của người không có năng lực hành vi dân sự.</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Không giải quyết những trường hợp khiếu nại: Quá thời hạn khiếu nại theo quy định đang được cấp trên có thẩm quyền giải quyết; đã được cấp có thẩm quyền cao nhất xem xét, kết luận, quyết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6. Xử lý nghiêm theo quy định của Đảng và Nhà nước đối với hành vi lợi dụng tố cáo để xuyên tạc sự thật, vu khống nhằm gây chia rẽ, mất đoàn kết nội bộ, phá hoại bầu cử.</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bookmarkStart w:id="4" w:name="muc_2"/>
      <w:r w:rsidRPr="00BD218D">
        <w:rPr>
          <w:rFonts w:eastAsia="Times New Roman" w:cs="Times New Roman"/>
          <w:b/>
          <w:bCs/>
          <w:szCs w:val="28"/>
        </w:rPr>
        <w:t>II. TRÁCH NHIỆM CỦA CẤP ỦY, BAN CÁN SỰ ĐẢNG, ĐẢNG ĐOÀN, ỦY BAN KIỂM TRA CÁC CẤP, CÁC CƠ QUAN THAM MƯU, GIÚP VIỆC CỦA CẤP ỦY</w:t>
      </w:r>
      <w:bookmarkEnd w:id="4"/>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bookmarkStart w:id="5" w:name="dieu_1"/>
      <w:r w:rsidRPr="00BD218D">
        <w:rPr>
          <w:rFonts w:eastAsia="Times New Roman" w:cs="Times New Roman"/>
          <w:b/>
          <w:bCs/>
          <w:szCs w:val="28"/>
        </w:rPr>
        <w:t>1. Trách nhiệm của các cấp ủy, ban cán sự đảng, đảng đoàn</w:t>
      </w:r>
      <w:bookmarkEnd w:id="5"/>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xml:space="preserve">a. Lãnh đạo, chỉ đạo và thực hiện việc giải quyết tố cáo, khiếu nại liên quan công tác bầu cử và nhân sự giới thiệu ứng cử đại biểu Quốc hội khóa XV và đại biểu </w:t>
      </w:r>
      <w:r w:rsidRPr="00BD218D">
        <w:rPr>
          <w:rFonts w:eastAsia="Times New Roman" w:cs="Times New Roman"/>
          <w:szCs w:val="28"/>
        </w:rPr>
        <w:lastRenderedPageBreak/>
        <w:t>Hội đồng nhân dân các cấp nhiệm kỳ 2021 - 2026 trong đảng bộ, địa phương, cơ quan đơn vị mình; chỉ đạo làm rõ và giải quyết dứt điểm các vụ việc khiếu nại, tố cáo của đảng viên, công dân ngay từ cơ sở, không để xảy ra tình trạng khiếu kiện đông người trước, trong và sau ngày bầu cử.</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xml:space="preserve">b. Chủ trì giải quyết theo thẩm quyền hoặc chỉ đạo giải quyết những tố cáo khiếu nại theo Quy định số 30-QĐ/TW, ngày 26/7/2016 của Ban Chấp hành Trung ương thi hành </w:t>
      </w:r>
      <w:bookmarkStart w:id="6" w:name="dc_1"/>
      <w:r w:rsidRPr="00BD218D">
        <w:rPr>
          <w:rFonts w:eastAsia="Times New Roman" w:cs="Times New Roman"/>
          <w:szCs w:val="28"/>
        </w:rPr>
        <w:t>Chương VII và Chương VIII Điều lệ Đảng</w:t>
      </w:r>
      <w:bookmarkEnd w:id="6"/>
      <w:r w:rsidRPr="00BD218D">
        <w:rPr>
          <w:rFonts w:eastAsia="Times New Roman" w:cs="Times New Roman"/>
          <w:szCs w:val="28"/>
        </w:rPr>
        <w:t xml:space="preserve"> về công tác kiểm tra giám sát, kỷ luật của Đảng; Quyết định số 210-QĐ/TW, ngày 08/11/2013 của Bộ Chính trị ban hành Quy định giải quyết tố cáo đối với đảng viên là cán bộ diện Bộ Chính trị, Ban Bí thư quản lý và quy định của cấp ủy các cấp về giải quyết tố cáo khiếu nại đối với đảng viên là cán bộ thuộc diện quản lý.</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c. Chỉ đạo giải quyết tố cáo liên quan đến nhiều cấp, nhiều ngành và thuộc trách nhiệm giải quyết của nhiều cơ quan, tổ chức, bảo đảm việc giải quyết tố cáo chặt chẽ, đúng quy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bookmarkStart w:id="7" w:name="dieu_2"/>
      <w:r w:rsidRPr="00BD218D">
        <w:rPr>
          <w:rFonts w:eastAsia="Times New Roman" w:cs="Times New Roman"/>
          <w:b/>
          <w:bCs/>
          <w:szCs w:val="28"/>
        </w:rPr>
        <w:t>2. Trách nhiệm của Ủy ban kiểm tra các cấp</w:t>
      </w:r>
      <w:bookmarkEnd w:id="7"/>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a. Tiếp nhận, phân loại, xử lý đầy đủ, chính xác, kịp thời đơn thư tố cáo, khiếu nại liên quan đến nhân sự giới thiệu ứng cử đại biểu Quốc hội khóa XV và đại biểu Hội đồng nhân dân các cấp nhiệm kỳ 2021 - 2026 và tiến hành giải quyết đơn thư thuộc thẩm quyền, trách nhiệm giải quyết; thực hiện chuyển đơn thư tố cáo, khiếu nại không thuộc thẩm quyền, trách nhiệm giải quyết đến cơ quan, tổ chức có thẩm quyền, trách nhiệm giải quyết và thông báo cho người tố cáo, khiếu nại biết bằng hình thức thích hợp.</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b. Hướng dẫn, đôn đốc, kiểm tra, giám sát các tổ chức đảng, đảng viên thực hiện nhiệm vụ giải quyết tố cáo, khiếu nại; báo cáo, đề xuất cấp ủy cùng cấp xem xét, chỉ đạo giải quyết những tố cáo phức tạp, liên quan đến nhiều cấp, nhiều ngành, thuộc trách nhiệm giải quyết của nhiều cơ quan, tổ chức; tổng hợp kết quả giải quyết tố cáo, khiếu nại liên quan đến nhân sự giới thiệu ứng cử đại biểu Quốc hội khóa XV và đại biểu Hội đồng nhân dân các cấp nhiệm kỳ 2021 - 2026 thuộc trách nhiệm của mình và báo cáo kịp thời cho cấp ủy cùng cấp để báo cáo Hội đồng bầu cử quốc gia (đối với đại biểu Quốc hội) hoặc thông báo cho Ủy ban bầu cử ở cấp tương ứng (đối với đại biểu Hội đồng nhân dân); đồng thời, báo cáo Ủy ban kiểm tra cấp trên để tổng hợp.</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 xml:space="preserve">c. Trường hợp tố cáo có nhiều nội dung, liên quan đến trách nhiệm giải quyết của nhiều cơ quan, tổ chức thì Ủy ban kiểm tra chủ trì giải quyết; các cơ quan, tổ chức liên quan phối hợp để cử cán bộ tham gia đoàn giải quyết tố cáo. Trường hợp </w:t>
      </w:r>
      <w:r w:rsidRPr="00BD218D">
        <w:rPr>
          <w:rFonts w:eastAsia="Times New Roman" w:cs="Times New Roman"/>
          <w:szCs w:val="28"/>
        </w:rPr>
        <w:lastRenderedPageBreak/>
        <w:t>cần thiết, Ủy ban kiểm tra và các tổ chức đảng có liên quan báo cáo ban thường vụ cấp ủy cùng cấp giao cho một cơ quan chủ trì hoặc ban thường vụ cấp ủy quyết định thành lập đoàn giải quyết tố cáo theo quy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d. Cùng với việc giải quyết tố cáo, khiếu nại; Ủy ban kiểm tra các cấp phải tăng cường giám sát, chủ động nắm chắc tình hình nhân sự giới thiệu ứng cử đại biểu Quốc hội khóa XV và đại biểu Hội đồng nhân dân các cấp nhiệm kỳ 2021 - 2026. Kịp thời phát hiện tổ chức đảng, đảng viên có dấu hiệu vi phạm nguyên tắc tập trung dân chủ, các quy định trong việc lãnh đạo, chỉ đạo, tổ chức cuộc bầu cử; vi phạm quy định về những điều đảng viên, cán bộ, công chức, viên chức không được làm và quy định về trách nhiệm nêu gương để kiểm tra, kết luận, xử lý hoặc báo cáo cấp có thẩm quyền xem xét, quyết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Qua giám sát, nắm tình hình, nếu phát hiện những trường hợp không đủ tiêu chuẩn, điều kiện để giới thiệu ứng cử đại biểu Quốc hội khóa XV, đại biểu Hội đồng nhân dân các cấp nhiệm kỳ 2021 - 2026 thì chủ động phối hợp với ban tổ chức của cấp ủy báo cáo ban thường vụ cấp ủy cùng cấp để báo cáo Hội đồng bầu cử quốc gia (đối với đại biểu Quốc hội) hoặc thông báo cho Ủy ban bầu cử ở cấp tương ứng (đối với đại biểu Hội đồng nhân dân) xem xét, quyết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e. Ủy ban kiểm tra của cấp ủy trực thuộc Trung ương có trách nhiệm giúp cấp ủy tổng hợp những tố cáo, khiếu nại liên quan đến cán bộ thuộc diện Bộ Chính trị, Ban Bí thư quản lý là nhân sự giới thiệu ứng cử đại biểu Quốc hội khóa XV, đại biểu Hội đồng nhân dân nhiệm kỳ 2021 - 2026 cùng cấp và gửi về Ủy ban Kiểm tra Trung ương để xem xét, giải quyết theo quy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bookmarkStart w:id="8" w:name="dieu_3"/>
      <w:r w:rsidRPr="00BD218D">
        <w:rPr>
          <w:rFonts w:eastAsia="Times New Roman" w:cs="Times New Roman"/>
          <w:b/>
          <w:bCs/>
          <w:szCs w:val="28"/>
        </w:rPr>
        <w:t>3. Trách nhiệm của các cơ quan tham mưu, giúp việc của cấp ủy</w:t>
      </w:r>
      <w:bookmarkEnd w:id="8"/>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a. Tiếp nhận, phân loại, xử lý đơn thư tố cáo, khiếu nại liên quan đến nhân sự giới thiệu ứng cử đại biểu Quốc hội khóa XV và đại biểu Hội đồng nhân dân các cấp nhiệm kỳ 2021 - 2026 theo đúng quy định; chuyển đơn, thư tố cáo, khiếu nại không thuộc thẩm quyền, trách nhiệm giải quyết đến các cơ quan, tổ chức, cá nhân có trách nhiệm giải quyết và thông báo cho người tố cáo, khiếu nại biết bằng hình thức thích hợp.</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b. Chủ trì xem xét giải quyết những tố cáo, khiếu nại thuộc phạm vi, trách nhiệm, thẩm quyền theo đúng Quyết định số 210-QĐ/TW, ngày 08/11/2013 của Bộ Chính trị về giải quyết tố cáo, khiếu nại đối với đảng viên là cán bộ thuộc diện Bộ Chính trị, Ban Bí thư và quy định của cấp ủy các cấp về giải quyết tố cáo, khiếu nại đối với cán bộ thuộc diện quản lý.</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lastRenderedPageBreak/>
        <w:t>c. Phối hợp với Ủy ban kiểm tra cùng cấp và các tổ chức đảng, cơ quan có liên quan giải quyết những nội dung tố cáo, khiếu nại đảng viên thuộc diện Bộ Chính trị, Ban Bí thư hoặc cấp ủy cùng cấp quản lý theo quy định.</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bookmarkStart w:id="9" w:name="muc_3"/>
      <w:r w:rsidRPr="00BD218D">
        <w:rPr>
          <w:rFonts w:eastAsia="Times New Roman" w:cs="Times New Roman"/>
          <w:b/>
          <w:bCs/>
          <w:szCs w:val="28"/>
        </w:rPr>
        <w:t>III. TỔ CHỨC THỰC HIỆN</w:t>
      </w:r>
      <w:bookmarkEnd w:id="9"/>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1. Các cấp ủy, ban cán sự đảng, đảng đoàn, tổ chức đảng các cấp lãnh đạo, chỉ đạo và triển khai thực hiện nghiêm túc Hướng dẫn này.</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2. Cấp ủy, tổ chức đảng, cơ quan tham mưu giúp việc của cấp ủy ở Trung ương và các tỉnh, thành phố trực thuộc Trung ương chủ động tổ chức thực hiện công tác giải quyết tố cáo, khiếu nại phục vụ bầu cử đại biểu Quốc hội khóa XV và bầu cử đại biểu Hội đồng nhân dân các cấp nhiệm kỳ 2021 - 2026 theo chức năng, nhiệm vụ, trách nhiệm, thẩm quyền.</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3. Ủy ban kiểm tra các cấp tham mưu, giúp cấp ủy cùng cấp tổ chức quán triệt, triển khai thực hiện và theo dõi, đôn đốc, kiểm tra, giám sát việc thực hiện Hướng dẫn này.</w:t>
      </w:r>
    </w:p>
    <w:p w:rsidR="00BD218D" w:rsidRPr="00BD218D" w:rsidRDefault="00BD218D" w:rsidP="00BD218D">
      <w:pPr>
        <w:spacing w:before="100" w:beforeAutospacing="1" w:after="100" w:afterAutospacing="1" w:line="240" w:lineRule="auto"/>
        <w:ind w:firstLine="630"/>
        <w:jc w:val="both"/>
        <w:rPr>
          <w:rFonts w:eastAsia="Times New Roman" w:cs="Times New Roman"/>
          <w:szCs w:val="28"/>
        </w:rPr>
      </w:pPr>
      <w:r w:rsidRPr="00BD218D">
        <w:rPr>
          <w:rFonts w:eastAsia="Times New Roman" w:cs="Times New Roman"/>
          <w:szCs w:val="28"/>
        </w:rPr>
        <w:t>Quá trình triển khai thực hiện, nếu có khó khăn, vướng mắc, các cấp ủy, tổ chức đảng, Ủy ban kiểm tra các cấp kịp thời phản ánh về Ủy ban Kiểm tra Trung ương.</w:t>
      </w:r>
    </w:p>
    <w:tbl>
      <w:tblPr>
        <w:tblW w:w="10632" w:type="dxa"/>
        <w:tblCellSpacing w:w="0" w:type="dxa"/>
        <w:tblCellMar>
          <w:left w:w="0" w:type="dxa"/>
          <w:right w:w="0" w:type="dxa"/>
        </w:tblCellMar>
        <w:tblLook w:val="04A0" w:firstRow="1" w:lastRow="0" w:firstColumn="1" w:lastColumn="0" w:noHBand="0" w:noVBand="1"/>
      </w:tblPr>
      <w:tblGrid>
        <w:gridCol w:w="4678"/>
        <w:gridCol w:w="5954"/>
      </w:tblGrid>
      <w:tr w:rsidR="00BD218D" w:rsidRPr="00BD218D" w:rsidTr="00B34F55">
        <w:trPr>
          <w:tblCellSpacing w:w="0" w:type="dxa"/>
        </w:trPr>
        <w:tc>
          <w:tcPr>
            <w:tcW w:w="4678" w:type="dxa"/>
            <w:hideMark/>
          </w:tcPr>
          <w:p w:rsidR="00BD218D" w:rsidRPr="00BD218D" w:rsidRDefault="00BD218D" w:rsidP="00B34F55">
            <w:pPr>
              <w:spacing w:before="100" w:beforeAutospacing="1" w:after="100" w:afterAutospacing="1" w:line="240" w:lineRule="auto"/>
              <w:ind w:firstLine="630"/>
              <w:rPr>
                <w:rFonts w:eastAsia="Times New Roman" w:cs="Times New Roman"/>
                <w:szCs w:val="28"/>
              </w:rPr>
            </w:pPr>
            <w:r w:rsidRPr="00BD218D">
              <w:rPr>
                <w:rFonts w:eastAsia="Times New Roman" w:cs="Times New Roman"/>
                <w:szCs w:val="28"/>
              </w:rPr>
              <w:br/>
            </w:r>
            <w:r w:rsidRPr="00BD218D">
              <w:rPr>
                <w:rFonts w:eastAsia="Times New Roman" w:cs="Times New Roman"/>
                <w:b/>
                <w:bCs/>
                <w:i/>
                <w:iCs/>
                <w:szCs w:val="28"/>
              </w:rPr>
              <w:t>Nơi nhận:</w:t>
            </w:r>
            <w:r w:rsidRPr="00BD218D">
              <w:rPr>
                <w:rFonts w:eastAsia="Times New Roman" w:cs="Times New Roman"/>
                <w:b/>
                <w:bCs/>
                <w:i/>
                <w:iCs/>
                <w:szCs w:val="28"/>
              </w:rPr>
              <w:br/>
            </w:r>
            <w:r w:rsidRPr="00BD218D">
              <w:rPr>
                <w:rFonts w:eastAsia="Times New Roman" w:cs="Times New Roman"/>
                <w:szCs w:val="28"/>
              </w:rPr>
              <w:t>- Bộ Chính trị, Ban Bí thư (để báo cáo),</w:t>
            </w:r>
            <w:r w:rsidRPr="00BD218D">
              <w:rPr>
                <w:rFonts w:eastAsia="Times New Roman" w:cs="Times New Roman"/>
                <w:szCs w:val="28"/>
              </w:rPr>
              <w:br/>
              <w:t>- Hội đồng bầu cử Quốc gia (để báo cáo),</w:t>
            </w:r>
            <w:r w:rsidRPr="00BD218D">
              <w:rPr>
                <w:rFonts w:eastAsia="Times New Roman" w:cs="Times New Roman"/>
                <w:szCs w:val="28"/>
              </w:rPr>
              <w:br/>
              <w:t>- Các tỉnh ủy, thành ủy, đảng ủy trực thuộc TW,</w:t>
            </w:r>
            <w:r w:rsidRPr="00BD218D">
              <w:rPr>
                <w:rFonts w:eastAsia="Times New Roman" w:cs="Times New Roman"/>
                <w:szCs w:val="28"/>
              </w:rPr>
              <w:br/>
              <w:t>- Các ban đảng, BCSĐ, Đảng đoàn trực thuộc TW,</w:t>
            </w:r>
            <w:r w:rsidRPr="00BD218D">
              <w:rPr>
                <w:rFonts w:eastAsia="Times New Roman" w:cs="Times New Roman"/>
                <w:szCs w:val="28"/>
              </w:rPr>
              <w:br/>
              <w:t>- UBKT các tỉnh ủy, thành ủy, đảng ủy trực thuộc TW,</w:t>
            </w:r>
            <w:r w:rsidRPr="00BD218D">
              <w:rPr>
                <w:rFonts w:eastAsia="Times New Roman" w:cs="Times New Roman"/>
                <w:szCs w:val="28"/>
              </w:rPr>
              <w:br/>
              <w:t>- Các đồng chí Thành viên UBKTTW,</w:t>
            </w:r>
            <w:r w:rsidRPr="00BD218D">
              <w:rPr>
                <w:rFonts w:eastAsia="Times New Roman" w:cs="Times New Roman"/>
                <w:szCs w:val="28"/>
              </w:rPr>
              <w:br/>
              <w:t>- Các vụ, đơn vị thuộc Cơ quan UBKTTW,</w:t>
            </w:r>
            <w:r w:rsidRPr="00BD218D">
              <w:rPr>
                <w:rFonts w:eastAsia="Times New Roman" w:cs="Times New Roman"/>
                <w:szCs w:val="28"/>
              </w:rPr>
              <w:br/>
              <w:t>- Các đồng chí Thư ký Chủ nhiệm UBKTTW,</w:t>
            </w:r>
            <w:r w:rsidRPr="00BD218D">
              <w:rPr>
                <w:rFonts w:eastAsia="Times New Roman" w:cs="Times New Roman"/>
                <w:szCs w:val="28"/>
              </w:rPr>
              <w:br/>
              <w:t>- Lưu: VT, LT-CNTT, Vụ NC (15b).</w:t>
            </w:r>
          </w:p>
        </w:tc>
        <w:tc>
          <w:tcPr>
            <w:tcW w:w="5954" w:type="dxa"/>
            <w:hideMark/>
          </w:tcPr>
          <w:p w:rsidR="00BD218D" w:rsidRPr="00A262E4" w:rsidRDefault="00BD218D" w:rsidP="00B34F55">
            <w:pPr>
              <w:spacing w:before="100" w:beforeAutospacing="1" w:after="100" w:afterAutospacing="1" w:line="240" w:lineRule="auto"/>
              <w:jc w:val="center"/>
              <w:rPr>
                <w:rFonts w:eastAsia="Times New Roman" w:cs="Times New Roman"/>
                <w:szCs w:val="28"/>
                <w:lang w:val="vi-VN"/>
              </w:rPr>
            </w:pPr>
            <w:r w:rsidRPr="00BD218D">
              <w:rPr>
                <w:rFonts w:eastAsia="Times New Roman" w:cs="Times New Roman"/>
                <w:b/>
                <w:bCs/>
                <w:szCs w:val="28"/>
              </w:rPr>
              <w:t>T/M ỦY BAN KIỂM TRA</w:t>
            </w:r>
            <w:r w:rsidRPr="00BD218D">
              <w:rPr>
                <w:rFonts w:eastAsia="Times New Roman" w:cs="Times New Roman"/>
                <w:b/>
                <w:bCs/>
                <w:szCs w:val="28"/>
              </w:rPr>
              <w:br/>
              <w:t>PHÓ CHỦ NHIỆM THƯỜNG TRỰC</w:t>
            </w:r>
            <w:r w:rsidRPr="00BD218D">
              <w:rPr>
                <w:rFonts w:eastAsia="Times New Roman" w:cs="Times New Roman"/>
                <w:b/>
                <w:bCs/>
                <w:szCs w:val="28"/>
              </w:rPr>
              <w:br/>
            </w:r>
            <w:r w:rsidRPr="00BD218D">
              <w:rPr>
                <w:rFonts w:eastAsia="Times New Roman" w:cs="Times New Roman"/>
                <w:b/>
                <w:bCs/>
                <w:szCs w:val="28"/>
              </w:rPr>
              <w:br/>
            </w:r>
            <w:r w:rsidR="00A262E4">
              <w:rPr>
                <w:rFonts w:eastAsia="Times New Roman" w:cs="Times New Roman"/>
                <w:b/>
                <w:bCs/>
                <w:szCs w:val="28"/>
                <w:lang w:val="vi-VN"/>
              </w:rPr>
              <w:t>(Đã ký)</w:t>
            </w:r>
            <w:r w:rsidRPr="00BD218D">
              <w:rPr>
                <w:rFonts w:eastAsia="Times New Roman" w:cs="Times New Roman"/>
                <w:b/>
                <w:bCs/>
                <w:szCs w:val="28"/>
              </w:rPr>
              <w:br/>
            </w:r>
            <w:r w:rsidRPr="00BD218D">
              <w:rPr>
                <w:rFonts w:eastAsia="Times New Roman" w:cs="Times New Roman"/>
                <w:b/>
                <w:bCs/>
                <w:szCs w:val="28"/>
              </w:rPr>
              <w:br/>
            </w:r>
            <w:r w:rsidRPr="00BD218D">
              <w:rPr>
                <w:rFonts w:eastAsia="Times New Roman" w:cs="Times New Roman"/>
                <w:b/>
                <w:bCs/>
                <w:szCs w:val="28"/>
              </w:rPr>
              <w:br/>
              <w:t>Bùi Thị M</w:t>
            </w:r>
            <w:r w:rsidR="00A262E4">
              <w:rPr>
                <w:rFonts w:eastAsia="Times New Roman" w:cs="Times New Roman"/>
                <w:b/>
                <w:bCs/>
                <w:szCs w:val="28"/>
                <w:lang w:val="vi-VN"/>
              </w:rPr>
              <w:t>inh Hoài</w:t>
            </w:r>
          </w:p>
        </w:tc>
      </w:tr>
    </w:tbl>
    <w:p w:rsidR="00223F18" w:rsidRPr="00BD218D" w:rsidRDefault="00856561" w:rsidP="00B34F55">
      <w:pPr>
        <w:ind w:firstLine="630"/>
        <w:rPr>
          <w:szCs w:val="28"/>
        </w:rPr>
      </w:pPr>
    </w:p>
    <w:sectPr w:rsidR="00223F18" w:rsidRPr="00BD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8D"/>
    <w:rsid w:val="003F3BD8"/>
    <w:rsid w:val="006748F6"/>
    <w:rsid w:val="00856561"/>
    <w:rsid w:val="00A262E4"/>
    <w:rsid w:val="00B34F55"/>
    <w:rsid w:val="00BD218D"/>
    <w:rsid w:val="00CE472D"/>
    <w:rsid w:val="00FE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6961"/>
  <w15:chartTrackingRefBased/>
  <w15:docId w15:val="{42D6BAE7-5496-4C8D-AABC-8D2CF79C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18D"/>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BD218D"/>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BD218D"/>
  </w:style>
  <w:style w:type="character" w:customStyle="1" w:styleId="vn7">
    <w:name w:val="vn_7"/>
    <w:basedOn w:val="DefaultParagraphFont"/>
    <w:rsid w:val="00BD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Thi Cuc</dc:creator>
  <cp:keywords/>
  <dc:description/>
  <cp:lastModifiedBy>Dung Chung Scan</cp:lastModifiedBy>
  <cp:revision>5</cp:revision>
  <dcterms:created xsi:type="dcterms:W3CDTF">2021-01-09T09:00:00Z</dcterms:created>
  <dcterms:modified xsi:type="dcterms:W3CDTF">2021-01-19T02:13:00Z</dcterms:modified>
</cp:coreProperties>
</file>